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74A" w:rsidRDefault="00A0474A" w:rsidP="00A0474A">
      <w:pPr>
        <w:framePr w:hSpace="141" w:wrap="around" w:vAnchor="text" w:hAnchor="page" w:x="1060" w:y="-175"/>
      </w:pPr>
      <w:r w:rsidRPr="00583D68">
        <w:rPr>
          <w:rFonts w:ascii="Times New Roman" w:hAnsi="Times New Roman"/>
          <w:sz w:val="20"/>
        </w:rPr>
        <w:object w:dxaOrig="1205" w:dyaOrig="1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1.15pt" o:ole="">
            <v:imagedata r:id="rId11" o:title=""/>
          </v:shape>
          <o:OLEObject Type="Embed" ProgID="Word.Document.8" ShapeID="_x0000_i1025" DrawAspect="Content" ObjectID="_1452509279" r:id="rId12"/>
        </w:object>
      </w:r>
    </w:p>
    <w:p w:rsidR="00EB61CF" w:rsidRDefault="008F60B6" w:rsidP="008F60B6">
      <w:pPr>
        <w:rPr>
          <w:b/>
          <w:bCs/>
          <w:sz w:val="22"/>
        </w:rPr>
      </w:pPr>
      <w:r>
        <w:rPr>
          <w:b/>
          <w:bCs/>
          <w:sz w:val="22"/>
        </w:rPr>
        <w:t xml:space="preserve">Amtsgericht </w:t>
      </w:r>
    </w:p>
    <w:p w:rsidR="008F60B6" w:rsidRDefault="00C83F4A" w:rsidP="008F60B6">
      <w:pPr>
        <w:rPr>
          <w:sz w:val="22"/>
        </w:rPr>
      </w:pPr>
      <w:r>
        <w:rPr>
          <w:b/>
          <w:bCs/>
          <w:sz w:val="22"/>
        </w:rPr>
        <w:t>Betreuung</w:t>
      </w:r>
      <w:r w:rsidR="008F60B6">
        <w:rPr>
          <w:b/>
          <w:bCs/>
          <w:sz w:val="22"/>
        </w:rPr>
        <w:t>sgericht</w:t>
      </w:r>
      <w:r w:rsidR="008F60B6">
        <w:rPr>
          <w:sz w:val="22"/>
        </w:rPr>
        <w:t xml:space="preserve"> </w:t>
      </w:r>
    </w:p>
    <w:p w:rsidR="000E7EDA" w:rsidRDefault="000E7EDA">
      <w:pPr>
        <w:rPr>
          <w:b/>
          <w:bCs/>
          <w:sz w:val="22"/>
        </w:rPr>
      </w:pPr>
    </w:p>
    <w:p w:rsidR="000E7EDA" w:rsidRDefault="000E7EDA">
      <w:pPr>
        <w:rPr>
          <w:sz w:val="22"/>
        </w:rPr>
      </w:pPr>
    </w:p>
    <w:p w:rsidR="000E7EDA" w:rsidRDefault="000E7EDA" w:rsidP="00990219">
      <w:pPr>
        <w:rPr>
          <w:sz w:val="32"/>
        </w:rPr>
      </w:pPr>
      <w:r>
        <w:rPr>
          <w:sz w:val="32"/>
        </w:rPr>
        <w:t xml:space="preserve">Informationen für rechtliche Betreuer zur </w:t>
      </w:r>
      <w:r w:rsidR="00ED3DB5">
        <w:rPr>
          <w:sz w:val="32"/>
        </w:rPr>
        <w:t>Rechnungslegung</w:t>
      </w:r>
      <w:r w:rsidR="00EB61CF">
        <w:rPr>
          <w:sz w:val="32"/>
        </w:rPr>
        <w:t xml:space="preserve"> </w:t>
      </w:r>
      <w:r w:rsidR="00EB61CF" w:rsidRPr="00EB61CF">
        <w:rPr>
          <w:sz w:val="32"/>
          <w:szCs w:val="32"/>
          <w:vertAlign w:val="superscript"/>
        </w:rPr>
        <w:t>1</w:t>
      </w:r>
    </w:p>
    <w:p w:rsidR="000E7EDA" w:rsidRDefault="000E7EDA">
      <w:pPr>
        <w:jc w:val="center"/>
        <w:rPr>
          <w:sz w:val="28"/>
        </w:rPr>
      </w:pPr>
    </w:p>
    <w:p w:rsidR="000E7EDA" w:rsidRDefault="000E7EDA">
      <w:pPr>
        <w:jc w:val="center"/>
        <w:rPr>
          <w:sz w:val="28"/>
        </w:rPr>
      </w:pPr>
    </w:p>
    <w:p w:rsidR="000E7EDA" w:rsidRDefault="000E7EDA">
      <w:pPr>
        <w:rPr>
          <w:b/>
          <w:sz w:val="22"/>
        </w:rPr>
      </w:pPr>
      <w:r>
        <w:rPr>
          <w:b/>
          <w:sz w:val="22"/>
        </w:rPr>
        <w:t xml:space="preserve">Für die </w:t>
      </w:r>
      <w:r w:rsidR="008E674F">
        <w:rPr>
          <w:b/>
          <w:sz w:val="22"/>
        </w:rPr>
        <w:t>Rechnungslegung</w:t>
      </w:r>
      <w:r w:rsidR="00ED3DB5">
        <w:rPr>
          <w:b/>
          <w:sz w:val="22"/>
        </w:rPr>
        <w:t xml:space="preserve"> </w:t>
      </w:r>
      <w:r>
        <w:rPr>
          <w:b/>
          <w:sz w:val="22"/>
        </w:rPr>
        <w:t>gelten folgende Vorschriften:</w:t>
      </w:r>
    </w:p>
    <w:p w:rsidR="000E7EDA" w:rsidRDefault="000E7EDA">
      <w:pPr>
        <w:rPr>
          <w:sz w:val="22"/>
        </w:rPr>
      </w:pPr>
    </w:p>
    <w:p w:rsidR="000E7EDA" w:rsidRDefault="000E7EDA">
      <w:pPr>
        <w:jc w:val="both"/>
        <w:rPr>
          <w:sz w:val="22"/>
        </w:rPr>
      </w:pPr>
      <w:r>
        <w:rPr>
          <w:sz w:val="22"/>
        </w:rPr>
        <w:t xml:space="preserve">Die </w:t>
      </w:r>
      <w:r w:rsidR="00ED3DB5">
        <w:rPr>
          <w:sz w:val="22"/>
        </w:rPr>
        <w:t>Rechnungslegung soll eine geordn</w:t>
      </w:r>
      <w:r>
        <w:rPr>
          <w:sz w:val="22"/>
        </w:rPr>
        <w:t xml:space="preserve">ete Zusammenstellung der Einnahmen und Ausgaben enthalten und über den Zu- und Abgang des Vermögens sowie über den Vermögensstand </w:t>
      </w:r>
      <w:r w:rsidR="00802F28">
        <w:rPr>
          <w:sz w:val="22"/>
        </w:rPr>
        <w:t>zu Beginn und zum</w:t>
      </w:r>
      <w:r>
        <w:rPr>
          <w:sz w:val="22"/>
        </w:rPr>
        <w:t xml:space="preserve"> Ende des Abrec</w:t>
      </w:r>
      <w:r>
        <w:rPr>
          <w:sz w:val="22"/>
        </w:rPr>
        <w:t>h</w:t>
      </w:r>
      <w:r>
        <w:rPr>
          <w:sz w:val="22"/>
        </w:rPr>
        <w:t>nungszeitraums Auskunft geben und mit Belegen versehen sein (</w:t>
      </w:r>
      <w:r w:rsidR="00721EF1">
        <w:rPr>
          <w:sz w:val="22"/>
        </w:rPr>
        <w:t xml:space="preserve">vgl. </w:t>
      </w:r>
      <w:r>
        <w:rPr>
          <w:sz w:val="22"/>
        </w:rPr>
        <w:t xml:space="preserve">§§ 1908 i Abs. 1 Satz 1; 1840; 1841 BGB). </w:t>
      </w:r>
    </w:p>
    <w:p w:rsidR="000E7EDA" w:rsidRDefault="000E7EDA">
      <w:pPr>
        <w:rPr>
          <w:sz w:val="22"/>
        </w:rPr>
      </w:pPr>
    </w:p>
    <w:p w:rsidR="000E7EDA" w:rsidRDefault="000E7EDA">
      <w:pPr>
        <w:rPr>
          <w:sz w:val="22"/>
        </w:rPr>
      </w:pPr>
    </w:p>
    <w:p w:rsidR="000E7EDA" w:rsidRDefault="000E7EDA">
      <w:pPr>
        <w:rPr>
          <w:b/>
          <w:sz w:val="22"/>
        </w:rPr>
      </w:pPr>
      <w:r>
        <w:rPr>
          <w:b/>
          <w:sz w:val="22"/>
        </w:rPr>
        <w:t>Bitte beachten Sie folgende Hinweise:</w:t>
      </w:r>
    </w:p>
    <w:p w:rsidR="000E7EDA" w:rsidRDefault="000E7EDA">
      <w:pPr>
        <w:rPr>
          <w:b/>
          <w:sz w:val="22"/>
        </w:rPr>
      </w:pPr>
    </w:p>
    <w:p w:rsidR="000E7EDA" w:rsidRDefault="000E7EDA">
      <w:pPr>
        <w:jc w:val="both"/>
        <w:rPr>
          <w:sz w:val="22"/>
        </w:rPr>
      </w:pPr>
    </w:p>
    <w:p w:rsidR="000E7EDA" w:rsidRDefault="000E7EDA">
      <w:pPr>
        <w:numPr>
          <w:ilvl w:val="0"/>
          <w:numId w:val="16"/>
        </w:numPr>
        <w:tabs>
          <w:tab w:val="left" w:pos="360"/>
        </w:tabs>
        <w:jc w:val="both"/>
        <w:rPr>
          <w:sz w:val="22"/>
        </w:rPr>
      </w:pPr>
      <w:r>
        <w:rPr>
          <w:sz w:val="22"/>
        </w:rPr>
        <w:t xml:space="preserve">Die </w:t>
      </w:r>
      <w:r>
        <w:rPr>
          <w:i/>
          <w:sz w:val="22"/>
        </w:rPr>
        <w:t>Einnahmen und Ausgaben</w:t>
      </w:r>
      <w:r>
        <w:rPr>
          <w:sz w:val="22"/>
        </w:rPr>
        <w:t xml:space="preserve"> sind zu belegen (z.B.  durch Rechnungen, Kontoauszüge, Durchschriften der Überweisungsaufträge, Quittungen der Empfänger). Die </w:t>
      </w:r>
      <w:r>
        <w:rPr>
          <w:i/>
          <w:sz w:val="22"/>
        </w:rPr>
        <w:t>Belege</w:t>
      </w:r>
      <w:r>
        <w:rPr>
          <w:sz w:val="22"/>
        </w:rPr>
        <w:t xml:space="preserve"> sind in zeitlicher Reihenfolge zu ordnen, mit laufenden Nummern zu versehen und in dieser Re</w:t>
      </w:r>
      <w:r>
        <w:rPr>
          <w:sz w:val="22"/>
        </w:rPr>
        <w:t>i</w:t>
      </w:r>
      <w:r>
        <w:rPr>
          <w:sz w:val="22"/>
        </w:rPr>
        <w:t>henfolge in der Abrechnung aufzuführen. Ausgenommen von der Nachweispflicht sind Ei</w:t>
      </w:r>
      <w:r>
        <w:rPr>
          <w:sz w:val="22"/>
        </w:rPr>
        <w:t>n</w:t>
      </w:r>
      <w:r>
        <w:rPr>
          <w:sz w:val="22"/>
        </w:rPr>
        <w:t xml:space="preserve">nahmen und Ausgaben, </w:t>
      </w:r>
      <w:r w:rsidRPr="00990219">
        <w:rPr>
          <w:sz w:val="22"/>
        </w:rPr>
        <w:t>über die üblicherwei</w:t>
      </w:r>
      <w:r w:rsidR="00AA54FF" w:rsidRPr="00990219">
        <w:rPr>
          <w:sz w:val="22"/>
        </w:rPr>
        <w:t>se keine Belege erteilt werden. Dies können z.B. auch kleinere Anstandsg</w:t>
      </w:r>
      <w:r w:rsidRPr="00990219">
        <w:rPr>
          <w:sz w:val="22"/>
        </w:rPr>
        <w:t>eschen</w:t>
      </w:r>
      <w:r w:rsidR="00AA54FF" w:rsidRPr="00990219">
        <w:rPr>
          <w:sz w:val="22"/>
        </w:rPr>
        <w:t>ke und Trinkgelder sein. Grundsätzlich darf der Betre</w:t>
      </w:r>
      <w:r w:rsidR="00AA54FF" w:rsidRPr="00990219">
        <w:rPr>
          <w:sz w:val="22"/>
        </w:rPr>
        <w:t>u</w:t>
      </w:r>
      <w:r w:rsidR="00AA54FF" w:rsidRPr="00990219">
        <w:rPr>
          <w:sz w:val="22"/>
        </w:rPr>
        <w:t>er in Vertretung des Betreuten allerdings keine Schenkungen vornehmen.</w:t>
      </w:r>
      <w:r>
        <w:rPr>
          <w:sz w:val="22"/>
        </w:rPr>
        <w:t xml:space="preserve"> Auch über Ei</w:t>
      </w:r>
      <w:r>
        <w:rPr>
          <w:sz w:val="22"/>
        </w:rPr>
        <w:t>n</w:t>
      </w:r>
      <w:r>
        <w:rPr>
          <w:sz w:val="22"/>
        </w:rPr>
        <w:t>käufe für den täglichen Lebensbedarf im üblichen Umfang (z.B. Lebensmittel, Gebrauchsa</w:t>
      </w:r>
      <w:r>
        <w:rPr>
          <w:sz w:val="22"/>
        </w:rPr>
        <w:t>r</w:t>
      </w:r>
      <w:r>
        <w:rPr>
          <w:sz w:val="22"/>
        </w:rPr>
        <w:t>tikel) verlangt das Gericht i.d.R. keine Belege. Eingereichte Originalbelege erhalten Sie nach Prüfung durch das Vormundschaftsgericht zurück. Kopien der Belege für das Gericht brauchen daher nicht a</w:t>
      </w:r>
      <w:r>
        <w:rPr>
          <w:sz w:val="22"/>
        </w:rPr>
        <w:t>n</w:t>
      </w:r>
      <w:r>
        <w:rPr>
          <w:sz w:val="22"/>
        </w:rPr>
        <w:t xml:space="preserve">gefertigt werden. </w:t>
      </w:r>
    </w:p>
    <w:p w:rsidR="000E7EDA" w:rsidRDefault="000E7EDA">
      <w:pPr>
        <w:tabs>
          <w:tab w:val="left" w:pos="360"/>
        </w:tabs>
        <w:jc w:val="both"/>
        <w:rPr>
          <w:sz w:val="22"/>
        </w:rPr>
      </w:pPr>
    </w:p>
    <w:p w:rsidR="000E7EDA" w:rsidRDefault="000E7EDA">
      <w:pPr>
        <w:numPr>
          <w:ilvl w:val="0"/>
          <w:numId w:val="16"/>
        </w:numPr>
        <w:tabs>
          <w:tab w:val="left" w:pos="360"/>
        </w:tabs>
        <w:jc w:val="both"/>
        <w:rPr>
          <w:sz w:val="22"/>
        </w:rPr>
      </w:pPr>
      <w:r>
        <w:rPr>
          <w:sz w:val="22"/>
        </w:rPr>
        <w:t>Bei mehreren Konten (Giro-, Spar-, Depotkonten) rechnen Sie zweckmäßigerweise jedes Konto einzeln ab.</w:t>
      </w:r>
    </w:p>
    <w:p w:rsidR="000E7EDA" w:rsidRDefault="000E7EDA">
      <w:pPr>
        <w:tabs>
          <w:tab w:val="left" w:pos="360"/>
        </w:tabs>
        <w:jc w:val="both"/>
        <w:rPr>
          <w:sz w:val="22"/>
        </w:rPr>
      </w:pPr>
    </w:p>
    <w:p w:rsidR="000E7EDA" w:rsidRDefault="000E7EDA">
      <w:pPr>
        <w:numPr>
          <w:ilvl w:val="0"/>
          <w:numId w:val="16"/>
        </w:numPr>
        <w:tabs>
          <w:tab w:val="left" w:pos="360"/>
        </w:tabs>
        <w:jc w:val="both"/>
        <w:rPr>
          <w:sz w:val="22"/>
        </w:rPr>
      </w:pPr>
      <w:r>
        <w:rPr>
          <w:sz w:val="22"/>
        </w:rPr>
        <w:t>Prüfen Sie bitte in jedem Fall nach, ob der von Ihnen ermittelte rechnerische Bestand auch mit dem tatsächl</w:t>
      </w:r>
      <w:r>
        <w:rPr>
          <w:sz w:val="22"/>
        </w:rPr>
        <w:t>i</w:t>
      </w:r>
      <w:r>
        <w:rPr>
          <w:sz w:val="22"/>
        </w:rPr>
        <w:t>chen Kontostand und Bargeldbestand übereinstimmt.</w:t>
      </w:r>
    </w:p>
    <w:p w:rsidR="000E7EDA" w:rsidRDefault="000E7EDA">
      <w:pPr>
        <w:tabs>
          <w:tab w:val="left" w:pos="360"/>
        </w:tabs>
        <w:jc w:val="both"/>
        <w:rPr>
          <w:sz w:val="22"/>
        </w:rPr>
      </w:pPr>
    </w:p>
    <w:p w:rsidR="000E7EDA" w:rsidRDefault="000E7EDA">
      <w:pPr>
        <w:pStyle w:val="Textkrper-Zeileneinzug"/>
        <w:numPr>
          <w:ilvl w:val="0"/>
          <w:numId w:val="16"/>
        </w:numPr>
        <w:tabs>
          <w:tab w:val="clear" w:pos="284"/>
          <w:tab w:val="left" w:pos="360"/>
        </w:tabs>
      </w:pPr>
      <w:r>
        <w:t xml:space="preserve">Verwalten Sie </w:t>
      </w:r>
      <w:r>
        <w:rPr>
          <w:i/>
        </w:rPr>
        <w:t xml:space="preserve">Grundstücke, </w:t>
      </w:r>
      <w:r>
        <w:t>die</w:t>
      </w:r>
      <w:r>
        <w:rPr>
          <w:i/>
        </w:rPr>
        <w:t xml:space="preserve"> </w:t>
      </w:r>
      <w:r>
        <w:t>zum Vermögen des/der Betreuten gehören, nicht selbst, so überzeugen Sie sich von der ordnungsgemäßen Verwaltung durch den beauftragten Ve</w:t>
      </w:r>
      <w:r>
        <w:t>r</w:t>
      </w:r>
      <w:r>
        <w:t>walter. Als Jahresrechnung ist dann eine Abrechnung des Verwalters mit Ihrer Versicherung einzureichen, dass Sie sich selbst von der ordnungsgemäßen Verwaltung überzeugt und die Abrechnung anhand der Unterlagen geprüft und in Ordnung befunden haben. Prüfen Sie bi</w:t>
      </w:r>
      <w:r>
        <w:t>t</w:t>
      </w:r>
      <w:r>
        <w:t>te auch, ob die Mieten der gegenwärtigen Marktlage entspr</w:t>
      </w:r>
      <w:r>
        <w:t>e</w:t>
      </w:r>
      <w:r>
        <w:t>chen.</w:t>
      </w:r>
    </w:p>
    <w:p w:rsidR="000E7EDA" w:rsidRDefault="000E7EDA">
      <w:pPr>
        <w:jc w:val="both"/>
        <w:rPr>
          <w:sz w:val="22"/>
        </w:rPr>
      </w:pPr>
    </w:p>
    <w:p w:rsidR="000E7EDA" w:rsidRDefault="000E7EDA">
      <w:pPr>
        <w:numPr>
          <w:ilvl w:val="0"/>
          <w:numId w:val="16"/>
        </w:numPr>
        <w:tabs>
          <w:tab w:val="left" w:pos="360"/>
        </w:tabs>
        <w:jc w:val="both"/>
        <w:rPr>
          <w:sz w:val="22"/>
        </w:rPr>
      </w:pPr>
      <w:r>
        <w:rPr>
          <w:sz w:val="22"/>
        </w:rPr>
        <w:t xml:space="preserve">Bei einem </w:t>
      </w:r>
      <w:r>
        <w:rPr>
          <w:i/>
          <w:sz w:val="22"/>
        </w:rPr>
        <w:t>Erwerbsgeschäft</w:t>
      </w:r>
      <w:r>
        <w:rPr>
          <w:sz w:val="22"/>
        </w:rPr>
        <w:t xml:space="preserve"> mit kaufmännischer Buchführung genügt als Abrechnung eine aus den Büchern gezogene Bilanz. Das Vormundschaftsgericht kann die Vorlage der B</w:t>
      </w:r>
      <w:r>
        <w:rPr>
          <w:sz w:val="22"/>
        </w:rPr>
        <w:t>ü</w:t>
      </w:r>
      <w:r>
        <w:rPr>
          <w:sz w:val="22"/>
        </w:rPr>
        <w:t xml:space="preserve">cher und Belege verlangen. </w:t>
      </w:r>
    </w:p>
    <w:p w:rsidR="000E7EDA" w:rsidRDefault="000E7EDA">
      <w:pPr>
        <w:pStyle w:val="Textkrper"/>
        <w:tabs>
          <w:tab w:val="clear" w:pos="284"/>
          <w:tab w:val="left" w:pos="360"/>
        </w:tabs>
      </w:pPr>
    </w:p>
    <w:p w:rsidR="000E7EDA" w:rsidRDefault="000E7EDA">
      <w:pPr>
        <w:pStyle w:val="Textkrper"/>
        <w:numPr>
          <w:ilvl w:val="0"/>
          <w:numId w:val="16"/>
        </w:numPr>
        <w:tabs>
          <w:tab w:val="clear" w:pos="284"/>
          <w:tab w:val="left" w:pos="360"/>
        </w:tabs>
      </w:pPr>
      <w:r>
        <w:t xml:space="preserve">Ist ein Gegenbetreuer bestellt, leiten Sie Ihre </w:t>
      </w:r>
      <w:r w:rsidR="00ED3DB5">
        <w:t>Rechnungslegung</w:t>
      </w:r>
      <w:r>
        <w:t xml:space="preserve"> bitte zunächst ihm zur Pr</w:t>
      </w:r>
      <w:r>
        <w:t>ü</w:t>
      </w:r>
      <w:r>
        <w:t>fung zu.</w:t>
      </w:r>
    </w:p>
    <w:p w:rsidR="000E7EDA" w:rsidRDefault="000E7EDA">
      <w:pPr>
        <w:tabs>
          <w:tab w:val="left" w:pos="284"/>
        </w:tabs>
        <w:jc w:val="both"/>
        <w:rPr>
          <w:sz w:val="22"/>
        </w:rPr>
      </w:pPr>
    </w:p>
    <w:p w:rsidR="000E7EDA" w:rsidRPr="00EB61CF" w:rsidRDefault="000E7EDA">
      <w:pPr>
        <w:numPr>
          <w:ilvl w:val="0"/>
          <w:numId w:val="16"/>
        </w:numPr>
        <w:jc w:val="both"/>
      </w:pPr>
      <w:r>
        <w:rPr>
          <w:sz w:val="22"/>
        </w:rPr>
        <w:t xml:space="preserve">Bei der </w:t>
      </w:r>
      <w:r w:rsidR="00ED3DB5">
        <w:rPr>
          <w:sz w:val="22"/>
        </w:rPr>
        <w:t>Rechnungslegung</w:t>
      </w:r>
      <w:r>
        <w:rPr>
          <w:sz w:val="22"/>
        </w:rPr>
        <w:t xml:space="preserve"> ist auch über die persönlichen Verhältnisse des/der Betre</w:t>
      </w:r>
      <w:r>
        <w:rPr>
          <w:sz w:val="22"/>
        </w:rPr>
        <w:t>u</w:t>
      </w:r>
      <w:r>
        <w:rPr>
          <w:sz w:val="22"/>
        </w:rPr>
        <w:t>ten zu berichten (Aufenthalt, Unterbringungsverhältnisse, Mitteilung genehmigungspflichtiger Rechtsgeschäfte, Bedarf an Veränderungen im Aufgabenkreis der rechtlichen Betre</w:t>
      </w:r>
      <w:r>
        <w:rPr>
          <w:sz w:val="22"/>
        </w:rPr>
        <w:t>u</w:t>
      </w:r>
      <w:r>
        <w:rPr>
          <w:sz w:val="22"/>
        </w:rPr>
        <w:t>ung).</w:t>
      </w:r>
    </w:p>
    <w:p w:rsidR="00EB61CF" w:rsidRDefault="00EB61CF" w:rsidP="00EB61CF">
      <w:pPr>
        <w:jc w:val="both"/>
      </w:pPr>
    </w:p>
    <w:p w:rsidR="00EB61CF" w:rsidRPr="00EB61CF" w:rsidRDefault="00EB61CF" w:rsidP="00EB61CF">
      <w:pPr>
        <w:jc w:val="both"/>
        <w:rPr>
          <w:sz w:val="18"/>
          <w:szCs w:val="18"/>
        </w:rPr>
      </w:pPr>
    </w:p>
    <w:p w:rsidR="00EB61CF" w:rsidRDefault="00EB61CF" w:rsidP="00EB61CF">
      <w:pPr>
        <w:pStyle w:val="Fuzeile"/>
      </w:pPr>
      <w:r w:rsidRPr="00EB61CF">
        <w:rPr>
          <w:szCs w:val="24"/>
          <w:vertAlign w:val="superscript"/>
        </w:rPr>
        <w:t>1</w:t>
      </w:r>
      <w:r>
        <w:t xml:space="preserve"> </w:t>
      </w:r>
      <w:r w:rsidRPr="00EB61CF">
        <w:rPr>
          <w:sz w:val="20"/>
        </w:rPr>
        <w:t>Dieses Merkblatt gilt bei einer Vormundschaft bzw. Pflegschaft auch für Vormünder und Pfl</w:t>
      </w:r>
      <w:r w:rsidRPr="00EB61CF">
        <w:rPr>
          <w:sz w:val="20"/>
        </w:rPr>
        <w:t>e</w:t>
      </w:r>
      <w:r w:rsidRPr="00EB61CF">
        <w:rPr>
          <w:sz w:val="20"/>
        </w:rPr>
        <w:t>ger</w:t>
      </w:r>
    </w:p>
    <w:p w:rsidR="00EB61CF" w:rsidRDefault="00EB61CF" w:rsidP="00EB61CF">
      <w:pPr>
        <w:jc w:val="both"/>
      </w:pPr>
    </w:p>
    <w:sectPr w:rsidR="00EB61CF">
      <w:footerReference w:type="default" r:id="rId13"/>
      <w:pgSz w:w="11906" w:h="16838" w:code="9"/>
      <w:pgMar w:top="964" w:right="1247"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83F4A">
      <w:r>
        <w:separator/>
      </w:r>
    </w:p>
  </w:endnote>
  <w:endnote w:type="continuationSeparator" w:id="0">
    <w:p w:rsidR="00000000" w:rsidRDefault="00C83F4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01A" w:rsidRPr="0036401A" w:rsidRDefault="0036401A">
    <w:pPr>
      <w:pStyle w:val="Fuzeile"/>
      <w:rPr>
        <w:sz w:val="20"/>
      </w:rPr>
    </w:pPr>
    <w:r w:rsidRPr="0036401A">
      <w:rPr>
        <w:b/>
        <w:sz w:val="20"/>
      </w:rPr>
      <w:t>VS 18</w:t>
    </w:r>
    <w:r w:rsidRPr="0036401A">
      <w:rPr>
        <w:sz w:val="20"/>
      </w:rPr>
      <w:t xml:space="preserve">  Merkblatt zur Rechnungslegung (VB 07.07)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83F4A">
      <w:r>
        <w:separator/>
      </w:r>
    </w:p>
  </w:footnote>
  <w:footnote w:type="continuationSeparator" w:id="0">
    <w:p w:rsidR="00000000" w:rsidRDefault="00C83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C5EC2A8"/>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
    <w:nsid w:val="0AB908AF"/>
    <w:multiLevelType w:val="singleLevel"/>
    <w:tmpl w:val="B6C40394"/>
    <w:lvl w:ilvl="0">
      <w:start w:val="5"/>
      <w:numFmt w:val="decimal"/>
      <w:lvlText w:val="%1."/>
      <w:lvlJc w:val="left"/>
      <w:pPr>
        <w:tabs>
          <w:tab w:val="num" w:pos="360"/>
        </w:tabs>
        <w:ind w:left="360" w:hanging="360"/>
      </w:pPr>
    </w:lvl>
  </w:abstractNum>
  <w:abstractNum w:abstractNumId="2">
    <w:nsid w:val="267226BA"/>
    <w:multiLevelType w:val="hybridMultilevel"/>
    <w:tmpl w:val="E36C407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2AE4207D"/>
    <w:multiLevelType w:val="hybridMultilevel"/>
    <w:tmpl w:val="CC209CD0"/>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E3F65B0"/>
    <w:multiLevelType w:val="singleLevel"/>
    <w:tmpl w:val="7E005122"/>
    <w:lvl w:ilvl="0">
      <w:start w:val="1"/>
      <w:numFmt w:val="decimal"/>
      <w:lvlText w:val="%1."/>
      <w:lvlJc w:val="left"/>
      <w:pPr>
        <w:tabs>
          <w:tab w:val="num" w:pos="360"/>
        </w:tabs>
        <w:ind w:left="360" w:hanging="360"/>
      </w:pPr>
      <w:rPr>
        <w:rFonts w:hint="default"/>
      </w:rPr>
    </w:lvl>
  </w:abstractNum>
  <w:abstractNum w:abstractNumId="5">
    <w:nsid w:val="2E650E5B"/>
    <w:multiLevelType w:val="hybridMultilevel"/>
    <w:tmpl w:val="DFD80CFA"/>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0B85D95"/>
    <w:multiLevelType w:val="singleLevel"/>
    <w:tmpl w:val="0407000F"/>
    <w:lvl w:ilvl="0">
      <w:start w:val="1"/>
      <w:numFmt w:val="decimal"/>
      <w:lvlText w:val="%1."/>
      <w:lvlJc w:val="left"/>
      <w:pPr>
        <w:tabs>
          <w:tab w:val="num" w:pos="360"/>
        </w:tabs>
        <w:ind w:left="360" w:hanging="360"/>
      </w:pPr>
    </w:lvl>
  </w:abstractNum>
  <w:abstractNum w:abstractNumId="7">
    <w:nsid w:val="5B1206B6"/>
    <w:multiLevelType w:val="singleLevel"/>
    <w:tmpl w:val="EE9EB8CC"/>
    <w:lvl w:ilvl="0">
      <w:start w:val="1"/>
      <w:numFmt w:val="decimal"/>
      <w:lvlText w:val="%1."/>
      <w:lvlJc w:val="left"/>
      <w:pPr>
        <w:tabs>
          <w:tab w:val="num" w:pos="360"/>
        </w:tabs>
        <w:ind w:left="360" w:hanging="360"/>
      </w:pPr>
      <w:rPr>
        <w:sz w:val="22"/>
        <w:szCs w:val="22"/>
      </w:rPr>
    </w:lvl>
  </w:abstractNum>
  <w:abstractNum w:abstractNumId="8">
    <w:nsid w:val="60A3274F"/>
    <w:multiLevelType w:val="singleLevel"/>
    <w:tmpl w:val="7E005122"/>
    <w:lvl w:ilvl="0">
      <w:start w:val="6"/>
      <w:numFmt w:val="decimal"/>
      <w:lvlText w:val="%1."/>
      <w:lvlJc w:val="left"/>
      <w:pPr>
        <w:tabs>
          <w:tab w:val="num" w:pos="360"/>
        </w:tabs>
        <w:ind w:left="36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5"/>
  </w:num>
  <w:num w:numId="13">
    <w:abstractNumId w:val="6"/>
  </w:num>
  <w:num w:numId="14">
    <w:abstractNumId w:val="8"/>
  </w:num>
  <w:num w:numId="15">
    <w:abstractNumId w:val="1"/>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stylePaneFormatFilter w:val="3F01"/>
  <w:doNotTrackMoves/>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6DDD"/>
    <w:rsid w:val="000E7EDA"/>
    <w:rsid w:val="0022057F"/>
    <w:rsid w:val="00356DDD"/>
    <w:rsid w:val="0036401A"/>
    <w:rsid w:val="00721EF1"/>
    <w:rsid w:val="00802F28"/>
    <w:rsid w:val="008E674F"/>
    <w:rsid w:val="008F60B6"/>
    <w:rsid w:val="00990219"/>
    <w:rsid w:val="0099785F"/>
    <w:rsid w:val="00A0474A"/>
    <w:rsid w:val="00AA54FF"/>
    <w:rsid w:val="00AB2B74"/>
    <w:rsid w:val="00C83F4A"/>
    <w:rsid w:val="00D80F42"/>
    <w:rsid w:val="00EB61CF"/>
    <w:rsid w:val="00ED3DB5"/>
    <w:rsid w:val="00EF6FE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2"/>
      </w:numPr>
      <w:spacing w:before="240" w:after="60"/>
      <w:outlineLvl w:val="1"/>
    </w:pPr>
  </w:style>
  <w:style w:type="paragraph" w:styleId="berschrift3">
    <w:name w:val="heading 3"/>
    <w:basedOn w:val="Standard"/>
    <w:next w:val="Standard"/>
    <w:qFormat/>
    <w:pPr>
      <w:keepNext/>
      <w:numPr>
        <w:ilvl w:val="2"/>
        <w:numId w:val="3"/>
      </w:numPr>
      <w:spacing w:before="120"/>
      <w:outlineLvl w:val="2"/>
    </w:pPr>
  </w:style>
  <w:style w:type="paragraph" w:styleId="berschrift4">
    <w:name w:val="heading 4"/>
    <w:basedOn w:val="Standard"/>
    <w:next w:val="Standard"/>
    <w:qFormat/>
    <w:pPr>
      <w:keepNext/>
      <w:numPr>
        <w:ilvl w:val="3"/>
        <w:numId w:val="4"/>
      </w:numPr>
      <w:spacing w:before="240" w:after="60"/>
      <w:outlineLvl w:val="3"/>
    </w:pPr>
  </w:style>
  <w:style w:type="paragraph" w:styleId="berschrift5">
    <w:name w:val="heading 5"/>
    <w:basedOn w:val="Standard"/>
    <w:next w:val="Standard"/>
    <w:qFormat/>
    <w:pPr>
      <w:numPr>
        <w:ilvl w:val="4"/>
        <w:numId w:val="5"/>
      </w:numPr>
      <w:spacing w:before="240" w:after="60"/>
      <w:outlineLvl w:val="4"/>
    </w:pPr>
  </w:style>
  <w:style w:type="paragraph" w:styleId="berschrift6">
    <w:name w:val="heading 6"/>
    <w:basedOn w:val="Standard"/>
    <w:next w:val="Standard"/>
    <w:qFormat/>
    <w:pPr>
      <w:numPr>
        <w:ilvl w:val="5"/>
        <w:numId w:val="6"/>
      </w:numPr>
      <w:spacing w:before="120"/>
      <w:outlineLvl w:val="5"/>
    </w:pPr>
  </w:style>
  <w:style w:type="paragraph" w:styleId="berschrift7">
    <w:name w:val="heading 7"/>
    <w:basedOn w:val="Standard"/>
    <w:next w:val="Standard"/>
    <w:qFormat/>
    <w:pPr>
      <w:numPr>
        <w:ilvl w:val="6"/>
        <w:numId w:val="7"/>
      </w:numPr>
      <w:spacing w:before="240" w:after="60"/>
      <w:ind w:hanging="709"/>
      <w:outlineLvl w:val="6"/>
    </w:pPr>
  </w:style>
  <w:style w:type="paragraph" w:styleId="berschrift8">
    <w:name w:val="heading 8"/>
    <w:basedOn w:val="Standard"/>
    <w:next w:val="Standard"/>
    <w:qFormat/>
    <w:pPr>
      <w:numPr>
        <w:ilvl w:val="7"/>
        <w:numId w:val="8"/>
      </w:numPr>
      <w:spacing w:before="240" w:after="60"/>
      <w:ind w:hanging="851"/>
      <w:outlineLvl w:val="7"/>
    </w:pPr>
  </w:style>
  <w:style w:type="paragraph" w:styleId="berschrift9">
    <w:name w:val="heading 9"/>
    <w:basedOn w:val="Standard"/>
    <w:next w:val="Standard"/>
    <w:qFormat/>
    <w:pPr>
      <w:numPr>
        <w:ilvl w:val="8"/>
        <w:numId w:val="9"/>
      </w:numPr>
      <w:spacing w:before="240" w:after="60"/>
      <w:outlineLvl w:val="8"/>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tabs>
        <w:tab w:val="left" w:pos="284"/>
      </w:tabs>
      <w:jc w:val="both"/>
    </w:pPr>
    <w:rPr>
      <w:sz w:val="22"/>
    </w:rPr>
  </w:style>
  <w:style w:type="paragraph" w:styleId="Textkrper-Zeileneinzug">
    <w:name w:val="Body Text Indent"/>
    <w:basedOn w:val="Standard"/>
    <w:pPr>
      <w:tabs>
        <w:tab w:val="left" w:pos="284"/>
      </w:tabs>
      <w:ind w:left="284" w:hanging="284"/>
      <w:jc w:val="both"/>
    </w:pPr>
    <w:rPr>
      <w:sz w:val="22"/>
    </w:rPr>
  </w:style>
  <w:style w:type="paragraph" w:styleId="Sprechblasentext">
    <w:name w:val="Balloon Text"/>
    <w:basedOn w:val="Standard"/>
    <w:semiHidden/>
    <w:rsid w:val="00EF6FE6"/>
    <w:rPr>
      <w:rFonts w:ascii="Tahoma" w:hAnsi="Tahoma" w:cs="Tahoma"/>
      <w:sz w:val="16"/>
      <w:szCs w:val="16"/>
    </w:rPr>
  </w:style>
  <w:style w:type="paragraph" w:styleId="Kopfzeile">
    <w:name w:val="header"/>
    <w:basedOn w:val="Standard"/>
    <w:rsid w:val="00EB61CF"/>
    <w:pPr>
      <w:tabs>
        <w:tab w:val="center" w:pos="4536"/>
        <w:tab w:val="right" w:pos="9072"/>
      </w:tabs>
    </w:pPr>
  </w:style>
  <w:style w:type="paragraph" w:styleId="Fuzeile">
    <w:name w:val="footer"/>
    <w:basedOn w:val="Standard"/>
    <w:rsid w:val="00EB61CF"/>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W_Dokument" ma:contentTypeID="0x0101005CB9AC713064483CAD7AA05D78BB15E000133EFAFE5C836F43871DCD42984B6971" ma:contentTypeVersion="3" ma:contentTypeDescription="Dokument der Justiz des Landes Baden-Württemberg." ma:contentTypeScope="" ma:versionID="abffe120115699df6aa4b979b902eb03">
  <xsd:schema xmlns:xsd="http://www.w3.org/2001/XMLSchema" xmlns:xs="http://www.w3.org/2001/XMLSchema" xmlns:p="http://schemas.microsoft.com/office/2006/metadata/properties" xmlns:ns1="http://schemas.microsoft.com/sharepoint/v3" targetNamespace="http://schemas.microsoft.com/office/2006/metadata/properties" ma:root="true" ma:fieldsID="5dc1dd317be0cc2b9027a58293eec41a" ns1:_="">
    <xsd:import namespace="http://schemas.microsoft.com/sharepoint/v3"/>
    <xsd:element name="properties">
      <xsd:complexType>
        <xsd:sequence>
          <xsd:element name="documentManagement">
            <xsd:complexType>
              <xsd:all>
                <xsd:element ref="ns1:bw_Kurzbeschreibung" minOccurs="0"/>
                <xsd:element ref="ns1:Audience" minOccurs="0"/>
                <xsd:element ref="ns1:bw_Redaktionsdatum" minOccurs="0"/>
                <xsd:element ref="ns1:PublishingRollupImage" minOccurs="0"/>
                <xsd:element ref="ns1:mi_Teaser" minOccurs="0"/>
                <xsd:element ref="ns1:Reihenfol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w_Kurzbeschreibung" ma:index="8" nillable="true" ma:displayName="Kurzbeschreibung" ma:description="Kurzbeschreibung des Elementes" ma:internalName="bw_Kurzbeschreibung">
      <xsd:simpleType>
        <xsd:restriction base="dms:Note"/>
      </xsd:simpleType>
    </xsd:element>
    <xsd:element name="Audience" ma:index="9" nillable="true" ma:displayName="Zielgruppe" ma:description="" ma:internalName="Audience">
      <xsd:simpleType>
        <xsd:restriction base="dms:Unknown"/>
      </xsd:simpleType>
    </xsd:element>
    <xsd:element name="bw_Redaktionsdatum" ma:index="10" nillable="true" ma:displayName="Redaktionsdatum" ma:description="Redaktionell vergebenes Datum" ma:format="DateOnly" ma:internalName="bw_Redaktionsdatum">
      <xsd:simpleType>
        <xsd:restriction base="dms:DateTime"/>
      </xsd:simpleType>
    </xsd:element>
    <xsd:element name="PublishingRollupImage" ma:index="12" nillable="true" ma:displayName="Rollupbild" ma:internalName="PublishingRollupImage">
      <xsd:simpleType>
        <xsd:restriction base="dms:Unknown"/>
      </xsd:simpleType>
    </xsd:element>
    <xsd:element name="mi_Teaser" ma:index="13" nillable="true" ma:displayName="Einführungstext" ma:description="Ein Text für eine Ausgabe in einer Übersicht." ma:internalName="mi_Teaser">
      <xsd:simpleType>
        <xsd:restriction base="dms:Note"/>
      </xsd:simpleType>
    </xsd:element>
    <xsd:element name="Reihenfolge" ma:index="14" nillable="true" ma:displayName="Reihenfolge" ma:decimals="0" ma:description="Bestimmt die numerische Reihenfolge." ma:internalName="Reihenfolge" ma:readOnly="false" ma:percentage="FALSE">
      <xsd:simpleType>
        <xsd:restriction base="dms:Number">
          <xsd:maxInclusive value="999999"/>
          <xsd:minInclusive value="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11" ma:displayName="Kommenta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ublishingRollupImage xmlns="http://schemas.microsoft.com/sharepoint/v3" xsi:nil="true"/>
    <mi_Teaser xmlns="http://schemas.microsoft.com/sharepoint/v3" xsi:nil="true"/>
    <Audience xmlns="http://schemas.microsoft.com/sharepoint/v3" xsi:nil="true"/>
    <Reihenfolge xmlns="http://schemas.microsoft.com/sharepoint/v3">5</Reihenfolge>
    <bw_Kurzbeschreibung xmlns="http://schemas.microsoft.com/sharepoint/v3" xsi:nil="true"/>
    <bw_Redaktionsdatum xmlns="http://schemas.microsoft.com/sharepoint/v3" xsi:nil="true"/>
  </documentManagement>
</p:properties>
</file>

<file path=customXml/itemProps1.xml><?xml version="1.0" encoding="utf-8"?>
<ds:datastoreItem xmlns:ds="http://schemas.openxmlformats.org/officeDocument/2006/customXml" ds:itemID="{C57C4116-266E-45E2-B612-D962824E7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11989-2E27-48CE-BF91-1DF537048BFA}">
  <ds:schemaRefs>
    <ds:schemaRef ds:uri="http://schemas.microsoft.com/sharepoint/v3/contenttype/forms"/>
  </ds:schemaRefs>
</ds:datastoreItem>
</file>

<file path=customXml/itemProps3.xml><?xml version="1.0" encoding="utf-8"?>
<ds:datastoreItem xmlns:ds="http://schemas.openxmlformats.org/officeDocument/2006/customXml" ds:itemID="{EB4A81B9-6A15-49D0-930E-32A81D18760A}">
  <ds:schemaRefs>
    <ds:schemaRef ds:uri="http://schemas.microsoft.com/office/2006/metadata/longProperties"/>
  </ds:schemaRefs>
</ds:datastoreItem>
</file>

<file path=customXml/itemProps4.xml><?xml version="1.0" encoding="utf-8"?>
<ds:datastoreItem xmlns:ds="http://schemas.openxmlformats.org/officeDocument/2006/customXml" ds:itemID="{C0451553-7235-483E-9FEB-2C74E9DBCA4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2476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Amtsgericht Karlsruhe </vt:lpstr>
    </vt:vector>
  </TitlesOfParts>
  <Company>Land Baden-Württemberg</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18 Merkblatt zur Rechnungslegung</dc:title>
  <dc:creator>JWilhelm</dc:creator>
  <cp:lastModifiedBy>hseib</cp:lastModifiedBy>
  <cp:revision>2</cp:revision>
  <cp:lastPrinted>2007-07-10T15:19:00Z</cp:lastPrinted>
  <dcterms:created xsi:type="dcterms:W3CDTF">2014-01-29T13:01:00Z</dcterms:created>
  <dcterms:modified xsi:type="dcterms:W3CDTF">2014-01-29T13:01:00Z</dcterms:modified>
</cp:coreProperties>
</file>

<file path=docProps/custom.xml><?xml version="1.0" encoding="utf-8"?>
<Properties xmlns="http://schemas.openxmlformats.org/officeDocument/2006/custom-properties" xmlns:vt="http://schemas.openxmlformats.org/officeDocument/2006/docPropsVTypes"/>
</file>